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869" w:rsidRPr="00FC70D9" w:rsidRDefault="00FC70D9" w:rsidP="00353B9F">
      <w:pPr>
        <w:pStyle w:val="Title"/>
        <w:spacing w:before="0"/>
      </w:pPr>
      <w:bookmarkStart w:id="0" w:name="_GoBack"/>
      <w:bookmarkEnd w:id="0"/>
      <w:r w:rsidRPr="00FC70D9">
        <w:t>DOCKET NO. 43705</w:t>
      </w:r>
    </w:p>
    <w:tbl>
      <w:tblPr>
        <w:tblW w:w="9450" w:type="dxa"/>
        <w:tblInd w:w="108" w:type="dxa"/>
        <w:tblLayout w:type="fixed"/>
        <w:tblLook w:val="0000" w:firstRow="0" w:lastRow="0" w:firstColumn="0" w:lastColumn="0" w:noHBand="0" w:noVBand="0"/>
      </w:tblPr>
      <w:tblGrid>
        <w:gridCol w:w="4608"/>
        <w:gridCol w:w="360"/>
        <w:gridCol w:w="4482"/>
      </w:tblGrid>
      <w:tr w:rsidR="00967322" w:rsidRPr="00FC70D9" w:rsidTr="001F7869">
        <w:tc>
          <w:tcPr>
            <w:tcW w:w="4608" w:type="dxa"/>
          </w:tcPr>
          <w:p w:rsidR="00967322" w:rsidRPr="00FC70D9" w:rsidRDefault="00FC70D9" w:rsidP="00FC70D9">
            <w:pPr>
              <w:rPr>
                <w:b/>
              </w:rPr>
            </w:pPr>
            <w:r w:rsidRPr="00FC70D9">
              <w:rPr>
                <w:b/>
              </w:rPr>
              <w:t>AGREED NOTICE OF VIOLATION AND SETTLEMENT AGREEMENT RELATING TO POWER RESOURCES LTD.'S VIOLATION OF PURA § 39.151(d), P.U.C. SUBST. R. § 25.503(f)(2), AND ERCOT OPERATING GUIDE §§ 2.2.5(2), RELATED TO AUTOMATIC VOLTAGE REGULATORS, AND 2.6.2(1), RELATED TO GENERATORS</w:t>
            </w:r>
          </w:p>
        </w:tc>
        <w:tc>
          <w:tcPr>
            <w:tcW w:w="360" w:type="dxa"/>
          </w:tcPr>
          <w:p w:rsidR="00967322" w:rsidRPr="00FC70D9" w:rsidRDefault="00967322">
            <w:pPr>
              <w:rPr>
                <w:b/>
              </w:rPr>
            </w:pPr>
            <w:r w:rsidRPr="00FC70D9">
              <w:rPr>
                <w:b/>
              </w:rPr>
              <w:t>§</w:t>
            </w:r>
          </w:p>
          <w:p w:rsidR="00967322" w:rsidRPr="00FC70D9" w:rsidRDefault="00967322">
            <w:pPr>
              <w:rPr>
                <w:b/>
              </w:rPr>
            </w:pPr>
            <w:r w:rsidRPr="00FC70D9">
              <w:rPr>
                <w:b/>
              </w:rPr>
              <w:t>§</w:t>
            </w:r>
          </w:p>
          <w:p w:rsidR="00FC70D9" w:rsidRPr="00FC70D9" w:rsidRDefault="00967322" w:rsidP="00FC70D9">
            <w:pPr>
              <w:rPr>
                <w:b/>
              </w:rPr>
            </w:pPr>
            <w:r w:rsidRPr="00FC70D9">
              <w:rPr>
                <w:b/>
              </w:rPr>
              <w:t>§</w:t>
            </w:r>
            <w:r w:rsidR="00FC70D9" w:rsidRPr="00FC70D9">
              <w:rPr>
                <w:b/>
              </w:rPr>
              <w:t>§</w:t>
            </w:r>
          </w:p>
          <w:p w:rsidR="00FC70D9" w:rsidRPr="00FC70D9" w:rsidRDefault="00FC70D9" w:rsidP="00FC70D9">
            <w:pPr>
              <w:rPr>
                <w:b/>
              </w:rPr>
            </w:pPr>
            <w:r w:rsidRPr="00FC70D9">
              <w:rPr>
                <w:b/>
              </w:rPr>
              <w:t>§</w:t>
            </w:r>
          </w:p>
          <w:p w:rsidR="00FC70D9" w:rsidRPr="00FC70D9" w:rsidRDefault="00FC70D9" w:rsidP="00FC70D9">
            <w:pPr>
              <w:rPr>
                <w:b/>
              </w:rPr>
            </w:pPr>
            <w:r w:rsidRPr="00FC70D9">
              <w:rPr>
                <w:b/>
              </w:rPr>
              <w:t>§§</w:t>
            </w:r>
          </w:p>
          <w:p w:rsidR="00FC70D9" w:rsidRPr="00FC70D9" w:rsidRDefault="00FC70D9" w:rsidP="00FC70D9">
            <w:pPr>
              <w:rPr>
                <w:b/>
              </w:rPr>
            </w:pPr>
            <w:r w:rsidRPr="00FC70D9">
              <w:rPr>
                <w:b/>
              </w:rPr>
              <w:t>§</w:t>
            </w:r>
          </w:p>
          <w:p w:rsidR="00967322" w:rsidRPr="00FC70D9" w:rsidRDefault="00FC70D9" w:rsidP="00FC70D9">
            <w:pPr>
              <w:rPr>
                <w:b/>
              </w:rPr>
            </w:pPr>
            <w:r w:rsidRPr="00FC70D9">
              <w:rPr>
                <w:b/>
              </w:rPr>
              <w:t>§</w:t>
            </w:r>
          </w:p>
          <w:p w:rsidR="00FC70D9" w:rsidRPr="00FC70D9" w:rsidRDefault="00FC70D9" w:rsidP="00FC70D9">
            <w:pPr>
              <w:rPr>
                <w:b/>
              </w:rPr>
            </w:pPr>
            <w:r w:rsidRPr="00FC70D9">
              <w:rPr>
                <w:b/>
              </w:rPr>
              <w:t>§</w:t>
            </w:r>
          </w:p>
        </w:tc>
        <w:tc>
          <w:tcPr>
            <w:tcW w:w="4482" w:type="dxa"/>
          </w:tcPr>
          <w:p w:rsidR="00967322" w:rsidRPr="00FC70D9" w:rsidRDefault="00967322">
            <w:pPr>
              <w:jc w:val="center"/>
              <w:rPr>
                <w:b/>
              </w:rPr>
            </w:pPr>
            <w:r w:rsidRPr="00FC70D9">
              <w:rPr>
                <w:b/>
              </w:rPr>
              <w:t>PUBLIC UTILITY COMMISSION</w:t>
            </w:r>
          </w:p>
          <w:p w:rsidR="00967322" w:rsidRPr="00FC70D9" w:rsidRDefault="00967322">
            <w:pPr>
              <w:jc w:val="center"/>
              <w:rPr>
                <w:b/>
              </w:rPr>
            </w:pPr>
          </w:p>
          <w:p w:rsidR="00967322" w:rsidRPr="00FC70D9" w:rsidRDefault="00967322">
            <w:pPr>
              <w:jc w:val="center"/>
              <w:rPr>
                <w:b/>
              </w:rPr>
            </w:pPr>
            <w:r w:rsidRPr="00FC70D9">
              <w:rPr>
                <w:b/>
              </w:rPr>
              <w:t xml:space="preserve">OF </w:t>
            </w:r>
            <w:smartTag w:uri="urn:schemas-microsoft-com:office:smarttags" w:element="place">
              <w:smartTag w:uri="urn:schemas-microsoft-com:office:smarttags" w:element="State">
                <w:r w:rsidRPr="00FC70D9">
                  <w:rPr>
                    <w:b/>
                  </w:rPr>
                  <w:t>TEXAS</w:t>
                </w:r>
              </w:smartTag>
            </w:smartTag>
          </w:p>
        </w:tc>
      </w:tr>
    </w:tbl>
    <w:p w:rsidR="00967322" w:rsidRPr="00FC70D9" w:rsidRDefault="00FC70D9">
      <w:pPr>
        <w:pStyle w:val="Title"/>
      </w:pPr>
      <w:r w:rsidRPr="00FC70D9">
        <w:t>PROPOSED</w:t>
      </w:r>
      <w:r w:rsidR="008439DC" w:rsidRPr="00FC70D9">
        <w:t xml:space="preserve"> </w:t>
      </w:r>
      <w:r w:rsidR="00967322" w:rsidRPr="00FC70D9">
        <w:t>ORDER</w:t>
      </w:r>
    </w:p>
    <w:p w:rsidR="00FC70D9" w:rsidRPr="00FC70D9" w:rsidRDefault="00FC70D9" w:rsidP="00FC70D9">
      <w:pPr>
        <w:pStyle w:val="BodyText"/>
      </w:pPr>
      <w:r w:rsidRPr="00FC70D9">
        <w:t xml:space="preserve">Pursuant to </w:t>
      </w:r>
      <w:r w:rsidRPr="00C93FAD">
        <w:t xml:space="preserve">P.U.C. </w:t>
      </w:r>
      <w:r w:rsidRPr="007E3316">
        <w:rPr>
          <w:smallCaps/>
        </w:rPr>
        <w:t>Proc.</w:t>
      </w:r>
      <w:r w:rsidRPr="00C93FAD">
        <w:t xml:space="preserve"> R. 22.</w:t>
      </w:r>
      <w:r w:rsidRPr="00FC70D9">
        <w:t>246(g)(1)(C), this Order approves the Settlement Agreement and Report to Commission (Agreement) between the Staff of the Public Utility Commission of Texas (Commission) and Power Resources, Ltd. (Power Resources) (collectively, Parties) regarding Commission Staff</w:t>
      </w:r>
      <w:r>
        <w:t>'</w:t>
      </w:r>
      <w:r w:rsidRPr="00FC70D9">
        <w:t>s investigation of Power Resources for violation of PURA</w:t>
      </w:r>
      <w:r>
        <w:rPr>
          <w:rStyle w:val="FootnoteReference"/>
        </w:rPr>
        <w:footnoteReference w:id="1"/>
      </w:r>
      <w:r>
        <w:t xml:space="preserve"> § </w:t>
      </w:r>
      <w:r w:rsidRPr="00FC70D9">
        <w:t xml:space="preserve">39.151(d) and </w:t>
      </w:r>
      <w:r w:rsidRPr="00C93FAD">
        <w:t xml:space="preserve">P.U.C. </w:t>
      </w:r>
      <w:r w:rsidRPr="005643A0">
        <w:rPr>
          <w:smallCaps/>
        </w:rPr>
        <w:t>Subst.</w:t>
      </w:r>
      <w:r w:rsidRPr="00C93FAD">
        <w:t xml:space="preserve"> R. 25.</w:t>
      </w:r>
      <w:r w:rsidRPr="00FC70D9">
        <w:t>503(f)(2), concerning failure to adhere to Electric Reliability Council of T</w:t>
      </w:r>
      <w:r>
        <w:t>exas (ERCOT) Operating Guide §§ </w:t>
      </w:r>
      <w:r w:rsidRPr="00FC70D9">
        <w:t xml:space="preserve">2.2.5(2), related to automatic voltage regulators, and 2.6.2(1), related to generators. </w:t>
      </w:r>
      <w:r>
        <w:t xml:space="preserve"> </w:t>
      </w:r>
      <w:r w:rsidRPr="00FC70D9">
        <w:t xml:space="preserve">The Agreement resolves all issues in this docket. </w:t>
      </w:r>
      <w:r>
        <w:t xml:space="preserve"> </w:t>
      </w:r>
      <w:r w:rsidRPr="00FC70D9">
        <w:t>Commission Staff recommended an administrative penalty of Thirty-Seven Thousand Dollars ($37,000), which Power Resources agreed to pay.</w:t>
      </w:r>
      <w:r>
        <w:t xml:space="preserve"> </w:t>
      </w:r>
      <w:r w:rsidRPr="00FC70D9">
        <w:t xml:space="preserve"> The Agreement is approved.</w:t>
      </w:r>
    </w:p>
    <w:p w:rsidR="00FC70D9" w:rsidRPr="00FC70D9" w:rsidRDefault="00FC70D9" w:rsidP="00FC70D9">
      <w:pPr>
        <w:pStyle w:val="BodyText"/>
      </w:pPr>
      <w:r w:rsidRPr="00FC70D9">
        <w:t>The Commission adopts the following findings of fact and conclusions of law:</w:t>
      </w:r>
    </w:p>
    <w:p w:rsidR="00FC70D9" w:rsidRPr="00FC70D9" w:rsidRDefault="00FC70D9" w:rsidP="00FC70D9">
      <w:pPr>
        <w:pStyle w:val="Heading1"/>
      </w:pPr>
      <w:r w:rsidRPr="00FC70D9">
        <w:tab/>
        <w:t>Findings of Fact</w:t>
      </w:r>
    </w:p>
    <w:p w:rsidR="00FC70D9" w:rsidRPr="00FC70D9" w:rsidRDefault="00FC70D9" w:rsidP="00FC70D9">
      <w:pPr>
        <w:pStyle w:val="FOFNumbered"/>
      </w:pPr>
      <w:r w:rsidRPr="00FC70D9">
        <w:t>EDF Trading is an authorized Qualified Scheduling Entity (QSE), as defined by ERCOT Protocols §</w:t>
      </w:r>
      <w:r w:rsidR="00A10F81">
        <w:t> </w:t>
      </w:r>
      <w:r w:rsidRPr="00FC70D9">
        <w:t xml:space="preserve">2.1 and </w:t>
      </w:r>
      <w:r w:rsidR="00343C81">
        <w:t>is the</w:t>
      </w:r>
      <w:r w:rsidRPr="00FC70D9">
        <w:t xml:space="preserve"> QSE for Power Resources.</w:t>
      </w:r>
    </w:p>
    <w:p w:rsidR="00FC70D9" w:rsidRPr="00FC70D9" w:rsidRDefault="00FC70D9" w:rsidP="00FC70D9">
      <w:pPr>
        <w:pStyle w:val="FOFNumbered"/>
      </w:pPr>
      <w:r w:rsidRPr="00FC70D9">
        <w:lastRenderedPageBreak/>
        <w:t>The performance crit</w:t>
      </w:r>
      <w:r w:rsidR="00A10F81">
        <w:t>eria in ERCOT Operating Guide § </w:t>
      </w:r>
      <w:r w:rsidRPr="00FC70D9">
        <w:t xml:space="preserve">2.2.5(2) states that generation resources shall conduct tests on Automatic Voltage Regulators (AVRs) or verify AVRs performance through comparison with operational data </w:t>
      </w:r>
      <w:r w:rsidR="00343C81">
        <w:t xml:space="preserve">a </w:t>
      </w:r>
      <w:r w:rsidRPr="00FC70D9">
        <w:t>minimum of every five years.</w:t>
      </w:r>
    </w:p>
    <w:p w:rsidR="00FC70D9" w:rsidRPr="00FC70D9" w:rsidRDefault="00FC70D9" w:rsidP="00FC70D9">
      <w:pPr>
        <w:pStyle w:val="FOFNumbered"/>
        <w:rPr>
          <w:color w:val="000000"/>
        </w:rPr>
      </w:pPr>
      <w:r w:rsidRPr="00FC70D9">
        <w:rPr>
          <w:color w:val="000000"/>
        </w:rPr>
        <w:t>The performance crit</w:t>
      </w:r>
      <w:r w:rsidR="00A10F81">
        <w:rPr>
          <w:color w:val="000000"/>
        </w:rPr>
        <w:t>eria in ERCOT Operating Guide § </w:t>
      </w:r>
      <w:r w:rsidRPr="00FC70D9">
        <w:rPr>
          <w:color w:val="000000"/>
        </w:rPr>
        <w:t xml:space="preserve">2.6.2(1) states </w:t>
      </w:r>
      <w:r w:rsidR="00343C81">
        <w:rPr>
          <w:color w:val="000000"/>
        </w:rPr>
        <w:t xml:space="preserve">that </w:t>
      </w:r>
      <w:r w:rsidRPr="00FC70D9">
        <w:rPr>
          <w:color w:val="000000"/>
        </w:rPr>
        <w:t>generation resources must set any under frequency relays to trip only if the generation resource is run at a particular frequency for a particular length of time.</w:t>
      </w:r>
    </w:p>
    <w:p w:rsidR="00FC70D9" w:rsidRPr="00FC70D9" w:rsidRDefault="00FC70D9" w:rsidP="00FC70D9">
      <w:pPr>
        <w:pStyle w:val="FOFNumbered"/>
        <w:rPr>
          <w:color w:val="000000"/>
        </w:rPr>
      </w:pPr>
      <w:r w:rsidRPr="00FC70D9">
        <w:rPr>
          <w:color w:val="000000"/>
        </w:rPr>
        <w:t>Commission Staff reviewed Texas Reliability Entity, Inc.'s ERCOT Protocols compliance audit of Qualified Scheduling Entities (QSE) and determined EDF Trading has been the QSE for Power Resources since 2007.</w:t>
      </w:r>
    </w:p>
    <w:p w:rsidR="00FC70D9" w:rsidRPr="00FC70D9" w:rsidRDefault="00FC70D9" w:rsidP="00FC70D9">
      <w:pPr>
        <w:pStyle w:val="FOFNumbered"/>
        <w:rPr>
          <w:color w:val="000000"/>
        </w:rPr>
      </w:pPr>
      <w:r w:rsidRPr="00FC70D9">
        <w:rPr>
          <w:color w:val="000000"/>
        </w:rPr>
        <w:t>Commission Staff concluded Power Resources had not performed AVR testing at five year intervals as required by ERCOT Operating Guide §</w:t>
      </w:r>
      <w:r w:rsidR="00A10F81">
        <w:rPr>
          <w:color w:val="000000"/>
        </w:rPr>
        <w:t> </w:t>
      </w:r>
      <w:r w:rsidRPr="00FC70D9">
        <w:rPr>
          <w:color w:val="000000"/>
        </w:rPr>
        <w:t>2.2.5(2) for three generators —two gas combustion turbines and a steam turbine — between 2003 and 2014.</w:t>
      </w:r>
    </w:p>
    <w:p w:rsidR="00FC70D9" w:rsidRPr="00FC70D9" w:rsidRDefault="00FC70D9" w:rsidP="00FC70D9">
      <w:pPr>
        <w:pStyle w:val="FOFNumbered"/>
        <w:rPr>
          <w:color w:val="000000"/>
        </w:rPr>
      </w:pPr>
      <w:r w:rsidRPr="00FC70D9">
        <w:rPr>
          <w:color w:val="000000"/>
        </w:rPr>
        <w:t>Commission Staff concluded Power Resources had under-frequency relay settings that were not in accordance with ERCOT Operating Guide §</w:t>
      </w:r>
      <w:r w:rsidR="00A10F81">
        <w:rPr>
          <w:color w:val="000000"/>
        </w:rPr>
        <w:t> </w:t>
      </w:r>
      <w:r w:rsidRPr="00FC70D9">
        <w:rPr>
          <w:color w:val="000000"/>
        </w:rPr>
        <w:t>2.6.2(1) requirement</w:t>
      </w:r>
      <w:r w:rsidR="00343C81">
        <w:rPr>
          <w:color w:val="000000"/>
        </w:rPr>
        <w:t>s</w:t>
      </w:r>
      <w:r w:rsidRPr="00FC70D9">
        <w:rPr>
          <w:color w:val="000000"/>
        </w:rPr>
        <w:t>.</w:t>
      </w:r>
    </w:p>
    <w:p w:rsidR="00FC70D9" w:rsidRPr="00FC70D9" w:rsidRDefault="00FC70D9" w:rsidP="00FC70D9">
      <w:pPr>
        <w:pStyle w:val="FOFNumbered"/>
        <w:rPr>
          <w:color w:val="000000"/>
        </w:rPr>
      </w:pPr>
      <w:r w:rsidRPr="00FC70D9">
        <w:rPr>
          <w:color w:val="000000"/>
        </w:rPr>
        <w:t>On or about October 14, 2014, Power Resources was provided proper notice of Commission Staff</w:t>
      </w:r>
      <w:r w:rsidR="00A10F81">
        <w:rPr>
          <w:color w:val="000000"/>
        </w:rPr>
        <w:t>'</w:t>
      </w:r>
      <w:r w:rsidRPr="00FC70D9">
        <w:rPr>
          <w:color w:val="000000"/>
        </w:rPr>
        <w:t>s investigation in this matter, the results of the investigation, information about its right to a hearing, and an opportunity to explain its activities.</w:t>
      </w:r>
    </w:p>
    <w:p w:rsidR="00FC70D9" w:rsidRPr="00FC70D9" w:rsidRDefault="00FC70D9" w:rsidP="00FC70D9">
      <w:pPr>
        <w:pStyle w:val="FOFNumbered"/>
        <w:rPr>
          <w:color w:val="000000"/>
        </w:rPr>
      </w:pPr>
      <w:r w:rsidRPr="00FC70D9">
        <w:rPr>
          <w:color w:val="000000"/>
        </w:rPr>
        <w:t>Power Resources fully cooperated with Commission Staff</w:t>
      </w:r>
      <w:r w:rsidR="00A10F81">
        <w:rPr>
          <w:color w:val="000000"/>
        </w:rPr>
        <w:t>'</w:t>
      </w:r>
      <w:r w:rsidRPr="00FC70D9">
        <w:rPr>
          <w:color w:val="000000"/>
        </w:rPr>
        <w:t>s investigation.</w:t>
      </w:r>
    </w:p>
    <w:p w:rsidR="00FC70D9" w:rsidRPr="00FC70D9" w:rsidRDefault="00FC70D9" w:rsidP="00FC70D9">
      <w:pPr>
        <w:pStyle w:val="FOFNumbered"/>
        <w:rPr>
          <w:color w:val="000000"/>
        </w:rPr>
      </w:pPr>
      <w:r w:rsidRPr="00FC70D9">
        <w:rPr>
          <w:color w:val="000000"/>
        </w:rPr>
        <w:t>Power Resources acknowledges the alleged violations detailed in this Order.</w:t>
      </w:r>
    </w:p>
    <w:p w:rsidR="00FC70D9" w:rsidRPr="00FC70D9" w:rsidRDefault="00FC70D9" w:rsidP="00FC70D9">
      <w:pPr>
        <w:pStyle w:val="FOFNumbered"/>
        <w:rPr>
          <w:color w:val="000000"/>
        </w:rPr>
      </w:pPr>
      <w:r w:rsidRPr="00FC70D9">
        <w:rPr>
          <w:color w:val="000000"/>
        </w:rPr>
        <w:t>Power Resources participated in one or more settlement discussions with Commission Staff to resolve this matter.</w:t>
      </w:r>
    </w:p>
    <w:p w:rsidR="00FC70D9" w:rsidRPr="00FC70D9" w:rsidRDefault="00FC70D9" w:rsidP="00FC70D9">
      <w:pPr>
        <w:pStyle w:val="FOFNumbered"/>
        <w:rPr>
          <w:color w:val="000000"/>
        </w:rPr>
      </w:pPr>
      <w:r w:rsidRPr="00FC70D9">
        <w:rPr>
          <w:color w:val="000000"/>
        </w:rPr>
        <w:t xml:space="preserve">On November 4, 2014, the Parties entered into the Agreement resolving the alleged violations. </w:t>
      </w:r>
      <w:r w:rsidR="00A10F81">
        <w:rPr>
          <w:color w:val="000000"/>
        </w:rPr>
        <w:t xml:space="preserve"> </w:t>
      </w:r>
      <w:r w:rsidRPr="00FC70D9">
        <w:rPr>
          <w:color w:val="000000"/>
        </w:rPr>
        <w:t>Commission Staff recommended, and Power Resources agreed to pay, an administrative penalty of Thirty-Seven Thousand Dollars ($37,000).</w:t>
      </w:r>
    </w:p>
    <w:p w:rsidR="00FC70D9" w:rsidRPr="00FC70D9" w:rsidRDefault="00FC70D9" w:rsidP="00FC70D9">
      <w:pPr>
        <w:pStyle w:val="FOFNumbered"/>
        <w:rPr>
          <w:color w:val="000000"/>
        </w:rPr>
      </w:pPr>
      <w:r w:rsidRPr="00FC70D9">
        <w:rPr>
          <w:color w:val="000000"/>
        </w:rPr>
        <w:t>The Agreement provides for a reasonable resolution of this dispute.</w:t>
      </w:r>
    </w:p>
    <w:p w:rsidR="00FC70D9" w:rsidRPr="00FC70D9" w:rsidRDefault="00FC70D9" w:rsidP="00FC70D9">
      <w:pPr>
        <w:pStyle w:val="Heading1"/>
      </w:pPr>
      <w:r w:rsidRPr="00FC70D9">
        <w:lastRenderedPageBreak/>
        <w:tab/>
        <w:t>Conclusions of Law</w:t>
      </w:r>
    </w:p>
    <w:p w:rsidR="00FC70D9" w:rsidRPr="00FC70D9" w:rsidRDefault="00FC70D9" w:rsidP="00FC70D9">
      <w:pPr>
        <w:pStyle w:val="FOFNumbered"/>
        <w:numPr>
          <w:ilvl w:val="0"/>
          <w:numId w:val="31"/>
        </w:numPr>
      </w:pPr>
      <w:r w:rsidRPr="00FC70D9">
        <w:t xml:space="preserve">The Commission has jurisdiction over </w:t>
      </w:r>
      <w:r w:rsidR="00A10F81">
        <w:t>this matter pursuant to PURA §§ </w:t>
      </w:r>
      <w:r w:rsidRPr="00FC70D9">
        <w:t>14.001, 14.002, 14.003, 14.051, 15.023, 15.024, and 39.151(d).</w:t>
      </w:r>
    </w:p>
    <w:p w:rsidR="00AC610E" w:rsidRDefault="00FC70D9" w:rsidP="00FC70D9">
      <w:pPr>
        <w:pStyle w:val="FOFNumbered"/>
      </w:pPr>
      <w:r w:rsidRPr="00FC70D9">
        <w:t>Power Resources was provided proper notice of Commission Staff</w:t>
      </w:r>
      <w:r w:rsidR="00A10F81">
        <w:t>'</w:t>
      </w:r>
      <w:r w:rsidRPr="00FC70D9">
        <w:t>s investigation in this matter, the results of the investigation, information about its right to a hearing, and an opportunity to explain its activities.</w:t>
      </w:r>
      <w:r w:rsidR="00A10F81">
        <w:t xml:space="preserve">  </w:t>
      </w:r>
    </w:p>
    <w:p w:rsidR="00FC70D9" w:rsidRPr="00FC70D9" w:rsidRDefault="00FC70D9" w:rsidP="00FC70D9">
      <w:pPr>
        <w:pStyle w:val="FOFNumbered"/>
      </w:pPr>
      <w:r w:rsidRPr="00FC70D9">
        <w:t>Power Resources failed to meet the performance criteria of ERCOT Operating Guide §§</w:t>
      </w:r>
      <w:r w:rsidR="00A10F81">
        <w:t> </w:t>
      </w:r>
      <w:r w:rsidRPr="00FC70D9">
        <w:t>2.2.5(2) and 2.6.2(1).</w:t>
      </w:r>
      <w:r w:rsidR="00AA78DF">
        <w:t xml:space="preserve"> </w:t>
      </w:r>
      <w:r w:rsidRPr="00FC70D9">
        <w:t xml:space="preserve"> Therefore, Power Resources violated PURA §</w:t>
      </w:r>
      <w:r w:rsidR="00AA78DF">
        <w:t> </w:t>
      </w:r>
      <w:r w:rsidRPr="00FC70D9">
        <w:t xml:space="preserve">39.151(d) and the requirements of </w:t>
      </w:r>
      <w:r w:rsidR="00AA78DF" w:rsidRPr="00C93FAD">
        <w:t xml:space="preserve">P.U.C. </w:t>
      </w:r>
      <w:r w:rsidR="00AA78DF" w:rsidRPr="005643A0">
        <w:rPr>
          <w:smallCaps/>
        </w:rPr>
        <w:t>Subst.</w:t>
      </w:r>
      <w:r w:rsidR="00AA78DF" w:rsidRPr="00C93FAD">
        <w:t xml:space="preserve"> R. 25.</w:t>
      </w:r>
      <w:r w:rsidRPr="00FC70D9">
        <w:t>503(f)(2).</w:t>
      </w:r>
    </w:p>
    <w:p w:rsidR="00FC70D9" w:rsidRPr="00FC70D9" w:rsidRDefault="00AA78DF" w:rsidP="00FC70D9">
      <w:pPr>
        <w:pStyle w:val="FOFNumbered"/>
      </w:pPr>
      <w:r w:rsidRPr="00C93FAD">
        <w:t xml:space="preserve">P.U.C. </w:t>
      </w:r>
      <w:r w:rsidRPr="007E3316">
        <w:rPr>
          <w:smallCaps/>
        </w:rPr>
        <w:t>Proc.</w:t>
      </w:r>
      <w:r w:rsidRPr="00C93FAD">
        <w:t xml:space="preserve"> R. 22.</w:t>
      </w:r>
      <w:r w:rsidR="00FC70D9" w:rsidRPr="00FC70D9">
        <w:t>246(g)(1)(A), (B), and (C) require issuance of a report of a settlement to the Commission and a written order that approves the settlement.</w:t>
      </w:r>
    </w:p>
    <w:p w:rsidR="00FC70D9" w:rsidRPr="00FC70D9" w:rsidRDefault="00FC70D9" w:rsidP="00FC70D9">
      <w:pPr>
        <w:pStyle w:val="FOFNumbered"/>
      </w:pPr>
      <w:r w:rsidRPr="00FC70D9">
        <w:t xml:space="preserve">The Agreement is a report of settlement to the Commission as required by </w:t>
      </w:r>
      <w:r w:rsidR="00AA78DF" w:rsidRPr="00C93FAD">
        <w:t xml:space="preserve">P.U.C. </w:t>
      </w:r>
      <w:r w:rsidR="00AA78DF" w:rsidRPr="007E3316">
        <w:rPr>
          <w:smallCaps/>
        </w:rPr>
        <w:t>Proc.</w:t>
      </w:r>
      <w:r w:rsidR="00AA78DF" w:rsidRPr="00C93FAD">
        <w:t xml:space="preserve"> R. 22.</w:t>
      </w:r>
      <w:r w:rsidRPr="00FC70D9">
        <w:t>246(g).</w:t>
      </w:r>
    </w:p>
    <w:p w:rsidR="00FC70D9" w:rsidRPr="00FC70D9" w:rsidRDefault="00FC70D9" w:rsidP="00FC70D9">
      <w:pPr>
        <w:pStyle w:val="FOFNumbered"/>
      </w:pPr>
      <w:r w:rsidRPr="00FC70D9">
        <w:t>This docket was processed in accordance with applicable statutes and Commission rules.</w:t>
      </w:r>
    </w:p>
    <w:p w:rsidR="00FC70D9" w:rsidRPr="00FC70D9" w:rsidRDefault="00FC70D9" w:rsidP="00FC70D9">
      <w:pPr>
        <w:pStyle w:val="FOFNumbered"/>
      </w:pPr>
      <w:r w:rsidRPr="00FC70D9">
        <w:t>The requirements for in</w:t>
      </w:r>
      <w:r w:rsidR="00AA78DF">
        <w:t xml:space="preserve">formal disposition pursuant to </w:t>
      </w:r>
      <w:r w:rsidR="00AA78DF" w:rsidRPr="00C93FAD">
        <w:t xml:space="preserve">P.U.C. </w:t>
      </w:r>
      <w:r w:rsidR="00AA78DF" w:rsidRPr="007E3316">
        <w:rPr>
          <w:smallCaps/>
        </w:rPr>
        <w:t>Proc.</w:t>
      </w:r>
      <w:r w:rsidR="00AA78DF" w:rsidRPr="00C93FAD">
        <w:t xml:space="preserve"> R. 22.</w:t>
      </w:r>
      <w:r w:rsidR="00AA78DF">
        <w:t>3</w:t>
      </w:r>
      <w:r w:rsidRPr="00FC70D9">
        <w:t>5 have been met in this proceeding.</w:t>
      </w:r>
    </w:p>
    <w:p w:rsidR="00FC70D9" w:rsidRPr="00FC70D9" w:rsidRDefault="00FC70D9" w:rsidP="00FC70D9">
      <w:pPr>
        <w:pStyle w:val="Heading1"/>
      </w:pPr>
      <w:r w:rsidRPr="00FC70D9">
        <w:tab/>
        <w:t>Ordering Paragraphs</w:t>
      </w:r>
    </w:p>
    <w:p w:rsidR="00FC70D9" w:rsidRPr="00FC70D9" w:rsidRDefault="00FC70D9" w:rsidP="00FC70D9">
      <w:pPr>
        <w:pStyle w:val="BodyText"/>
      </w:pPr>
      <w:r w:rsidRPr="00FC70D9">
        <w:t>In accordance with these findings of fact and conclusions of law, the Commission issues the following order:</w:t>
      </w:r>
    </w:p>
    <w:p w:rsidR="00FC70D9" w:rsidRPr="00FC70D9" w:rsidRDefault="00FC70D9" w:rsidP="00FC70D9">
      <w:pPr>
        <w:pStyle w:val="FOFNumbered"/>
        <w:numPr>
          <w:ilvl w:val="0"/>
          <w:numId w:val="32"/>
        </w:numPr>
      </w:pPr>
      <w:r w:rsidRPr="00FC70D9">
        <w:t>The Agreement, attached to this Order as Attachment 1, is approved, and the Parties shall be bound by its terms.</w:t>
      </w:r>
    </w:p>
    <w:p w:rsidR="00FC70D9" w:rsidRPr="00FC70D9" w:rsidRDefault="00FC70D9" w:rsidP="00FC70D9">
      <w:pPr>
        <w:pStyle w:val="FOFNumbered"/>
      </w:pPr>
      <w:r w:rsidRPr="00FC70D9">
        <w:t xml:space="preserve">Power Resources shall pay an administrative penalty to the Commission in the amount of Thirty-Seven Thousand Dollars ($37,000). </w:t>
      </w:r>
      <w:r w:rsidR="00AA78DF">
        <w:t xml:space="preserve"> </w:t>
      </w:r>
      <w:r w:rsidRPr="00FC70D9">
        <w:t>Power Resources shall remit payment of the full amount of the administrative penalty on or before thirty (30) calendar days after the date this Order is signed.</w:t>
      </w:r>
      <w:r w:rsidR="00AA78DF">
        <w:t xml:space="preserve"> </w:t>
      </w:r>
      <w:r w:rsidRPr="00FC70D9">
        <w:t xml:space="preserve"> Payment of the administrative penalty shall be made by check payable to the Public Utility Commission of Texas and shall reference this docket.</w:t>
      </w:r>
      <w:r w:rsidR="00AA78DF">
        <w:t xml:space="preserve"> </w:t>
      </w:r>
      <w:r w:rsidRPr="00FC70D9">
        <w:t xml:space="preserve"> The check shall be sent to the following address:</w:t>
      </w:r>
    </w:p>
    <w:p w:rsidR="00FC70D9" w:rsidRPr="00FC70D9" w:rsidRDefault="00FC70D9" w:rsidP="00343C81">
      <w:pPr>
        <w:tabs>
          <w:tab w:val="left" w:pos="2880"/>
        </w:tabs>
        <w:spacing w:before="129" w:line="260" w:lineRule="exact"/>
        <w:ind w:left="2880" w:right="2160"/>
        <w:textAlignment w:val="baseline"/>
        <w:rPr>
          <w:color w:val="000000"/>
        </w:rPr>
      </w:pPr>
      <w:r w:rsidRPr="00FC70D9">
        <w:rPr>
          <w:color w:val="000000"/>
        </w:rPr>
        <w:t xml:space="preserve">Public Utility Commission of Texas </w:t>
      </w:r>
      <w:r w:rsidR="000D7D6B">
        <w:rPr>
          <w:color w:val="000000"/>
        </w:rPr>
        <w:br/>
      </w:r>
      <w:r w:rsidRPr="00FC70D9">
        <w:rPr>
          <w:color w:val="000000"/>
        </w:rPr>
        <w:t>P.O. Box 13326</w:t>
      </w:r>
    </w:p>
    <w:p w:rsidR="00FC70D9" w:rsidRPr="00FC70D9" w:rsidRDefault="00343C81" w:rsidP="00343C81">
      <w:pPr>
        <w:tabs>
          <w:tab w:val="left" w:pos="2880"/>
        </w:tabs>
        <w:spacing w:line="260" w:lineRule="exact"/>
        <w:ind w:left="2160"/>
        <w:textAlignment w:val="baseline"/>
        <w:rPr>
          <w:color w:val="000000"/>
        </w:rPr>
      </w:pPr>
      <w:r>
        <w:rPr>
          <w:color w:val="000000"/>
        </w:rPr>
        <w:tab/>
      </w:r>
      <w:r w:rsidR="00FC70D9" w:rsidRPr="00FC70D9">
        <w:rPr>
          <w:color w:val="000000"/>
        </w:rPr>
        <w:t>Austin, Texas 78711</w:t>
      </w:r>
    </w:p>
    <w:p w:rsidR="00FC70D9" w:rsidRPr="00FC70D9" w:rsidRDefault="00343C81" w:rsidP="00343C81">
      <w:pPr>
        <w:tabs>
          <w:tab w:val="left" w:pos="2880"/>
        </w:tabs>
        <w:spacing w:after="240" w:line="263" w:lineRule="exact"/>
        <w:ind w:left="2160"/>
        <w:textAlignment w:val="baseline"/>
        <w:rPr>
          <w:color w:val="000000"/>
        </w:rPr>
      </w:pPr>
      <w:r>
        <w:rPr>
          <w:color w:val="000000"/>
        </w:rPr>
        <w:tab/>
      </w:r>
      <w:r w:rsidR="00FC70D9" w:rsidRPr="00FC70D9">
        <w:rPr>
          <w:color w:val="000000"/>
        </w:rPr>
        <w:t>ATTN: Fiscal Services</w:t>
      </w:r>
    </w:p>
    <w:p w:rsidR="00FC70D9" w:rsidRPr="00FC70D9" w:rsidRDefault="00FC70D9" w:rsidP="00FC70D9">
      <w:pPr>
        <w:pStyle w:val="FOFNumbered"/>
      </w:pPr>
      <w:r w:rsidRPr="00FC70D9">
        <w:t>Power Resources shall file an affidavit of payment in this docket no later than five calendar days after the payment is made.</w:t>
      </w:r>
    </w:p>
    <w:p w:rsidR="00FC70D9" w:rsidRPr="00FC70D9" w:rsidRDefault="00FC70D9" w:rsidP="00FC70D9">
      <w:pPr>
        <w:pStyle w:val="FOFNumbered"/>
      </w:pPr>
      <w:r w:rsidRPr="00FC70D9">
        <w:t>The Commission shall not be constrained in any manner from requiring additional action or penalties for violations that are not raised here.</w:t>
      </w:r>
    </w:p>
    <w:p w:rsidR="00FC70D9" w:rsidRPr="00FC70D9" w:rsidRDefault="00FC70D9" w:rsidP="00FC70D9">
      <w:pPr>
        <w:pStyle w:val="FOFNumbered"/>
      </w:pPr>
      <w:r w:rsidRPr="00FC70D9">
        <w:t xml:space="preserve">Entry of this Order does not indicate the Commission's endorsement or approval of any principle or methodology that may underlie the Agreement. </w:t>
      </w:r>
      <w:r w:rsidR="00AA78DF">
        <w:t xml:space="preserve"> </w:t>
      </w:r>
      <w:r w:rsidRPr="00FC70D9">
        <w:t xml:space="preserve">Entry of this Order </w:t>
      </w:r>
      <w:r w:rsidR="00AC610E">
        <w:t xml:space="preserve">consistent with the Agreement </w:t>
      </w:r>
      <w:r w:rsidRPr="00FC70D9">
        <w:t>shall not be regarded as a binding holding or precedent as to the appropriateness of any principle or methodology underlying the Agreement.</w:t>
      </w:r>
    </w:p>
    <w:p w:rsidR="00FC70D9" w:rsidRPr="00FC70D9" w:rsidRDefault="00FC70D9" w:rsidP="00AA78DF">
      <w:pPr>
        <w:pStyle w:val="FOFNumbered"/>
      </w:pPr>
      <w:r w:rsidRPr="00FC70D9">
        <w:t>All other motions, requests for entry of specific findings of fact and conclusions of law, and any other request for general or specific relief, if not expressly granted herein, are denied.</w:t>
      </w:r>
    </w:p>
    <w:p w:rsidR="008F66B2" w:rsidRPr="00FC70D9" w:rsidRDefault="008F66B2" w:rsidP="00AA78DF"/>
    <w:p w:rsidR="00967322" w:rsidRPr="00FC70D9" w:rsidRDefault="00967322" w:rsidP="00AA78DF">
      <w:pPr>
        <w:spacing w:line="480" w:lineRule="auto"/>
        <w:ind w:firstLine="720"/>
        <w:rPr>
          <w:b/>
        </w:rPr>
      </w:pPr>
      <w:r w:rsidRPr="00FC70D9">
        <w:rPr>
          <w:b/>
        </w:rPr>
        <w:t xml:space="preserve">SIGNED AT AUSTIN, TEXAS the </w:t>
      </w:r>
      <w:r w:rsidRPr="00FC70D9">
        <w:t>_</w:t>
      </w:r>
      <w:r w:rsidR="00FC70D9">
        <w:t>__</w:t>
      </w:r>
      <w:r w:rsidRPr="00FC70D9">
        <w:t xml:space="preserve">_____ </w:t>
      </w:r>
      <w:r w:rsidRPr="00FC70D9">
        <w:rPr>
          <w:b/>
        </w:rPr>
        <w:t xml:space="preserve">day of </w:t>
      </w:r>
      <w:r w:rsidR="00FC70D9">
        <w:rPr>
          <w:b/>
        </w:rPr>
        <w:t>December 2014.</w:t>
      </w:r>
    </w:p>
    <w:p w:rsidR="00967322" w:rsidRPr="00FC70D9" w:rsidRDefault="00967322" w:rsidP="00AA78DF">
      <w:pPr>
        <w:tabs>
          <w:tab w:val="left" w:pos="3600"/>
        </w:tabs>
      </w:pPr>
    </w:p>
    <w:p w:rsidR="008F66B2" w:rsidRPr="00FC70D9" w:rsidRDefault="008F66B2" w:rsidP="00AA78DF">
      <w:pPr>
        <w:pStyle w:val="BodyText"/>
        <w:spacing w:before="0"/>
        <w:ind w:left="2880" w:firstLine="0"/>
        <w:rPr>
          <w:b/>
          <w:szCs w:val="24"/>
        </w:rPr>
      </w:pPr>
      <w:r w:rsidRPr="00FC70D9">
        <w:rPr>
          <w:b/>
        </w:rPr>
        <w:t xml:space="preserve">PUBLIC UTILITY COMMISSION OF </w:t>
      </w:r>
      <w:smartTag w:uri="urn:schemas-microsoft-com:office:smarttags" w:element="place">
        <w:smartTag w:uri="urn:schemas-microsoft-com:office:smarttags" w:element="State">
          <w:r w:rsidRPr="00FC70D9">
            <w:rPr>
              <w:b/>
            </w:rPr>
            <w:t>TEXAS</w:t>
          </w:r>
        </w:smartTag>
      </w:smartTag>
    </w:p>
    <w:p w:rsidR="008F66B2" w:rsidRPr="00FC70D9" w:rsidRDefault="008F66B2" w:rsidP="00AA78DF">
      <w:pPr>
        <w:tabs>
          <w:tab w:val="left" w:pos="2880"/>
          <w:tab w:val="left" w:pos="8640"/>
        </w:tabs>
        <w:rPr>
          <w:b/>
          <w:szCs w:val="24"/>
        </w:rPr>
      </w:pPr>
    </w:p>
    <w:p w:rsidR="00FD6764" w:rsidRPr="00FC70D9" w:rsidRDefault="00FD6764" w:rsidP="00AA78DF">
      <w:pPr>
        <w:tabs>
          <w:tab w:val="left" w:pos="2880"/>
          <w:tab w:val="left" w:pos="8640"/>
        </w:tabs>
        <w:rPr>
          <w:b/>
          <w:szCs w:val="24"/>
        </w:rPr>
      </w:pPr>
    </w:p>
    <w:p w:rsidR="001F7869" w:rsidRPr="00FC70D9" w:rsidRDefault="001F7869" w:rsidP="00AA78DF">
      <w:pPr>
        <w:tabs>
          <w:tab w:val="left" w:pos="2880"/>
          <w:tab w:val="left" w:pos="8640"/>
        </w:tabs>
        <w:rPr>
          <w:b/>
          <w:szCs w:val="24"/>
        </w:rPr>
      </w:pPr>
    </w:p>
    <w:p w:rsidR="008F66B2" w:rsidRPr="00FC70D9" w:rsidRDefault="00FD6764" w:rsidP="00AA78DF">
      <w:pPr>
        <w:tabs>
          <w:tab w:val="left" w:pos="2880"/>
          <w:tab w:val="left" w:pos="8370"/>
        </w:tabs>
        <w:rPr>
          <w:b/>
          <w:szCs w:val="24"/>
        </w:rPr>
      </w:pPr>
      <w:r w:rsidRPr="00FC70D9">
        <w:rPr>
          <w:b/>
          <w:szCs w:val="24"/>
        </w:rPr>
        <w:tab/>
      </w:r>
      <w:r w:rsidR="008F66B2" w:rsidRPr="00FC70D9">
        <w:rPr>
          <w:b/>
          <w:szCs w:val="24"/>
          <w:u w:val="single"/>
        </w:rPr>
        <w:tab/>
      </w:r>
    </w:p>
    <w:p w:rsidR="008F66B2" w:rsidRPr="00FC70D9" w:rsidRDefault="008F66B2" w:rsidP="00AA78DF">
      <w:pPr>
        <w:tabs>
          <w:tab w:val="left" w:pos="2880"/>
          <w:tab w:val="left" w:pos="8640"/>
        </w:tabs>
        <w:rPr>
          <w:b/>
          <w:szCs w:val="24"/>
        </w:rPr>
      </w:pPr>
      <w:r w:rsidRPr="00FC70D9">
        <w:rPr>
          <w:b/>
          <w:szCs w:val="24"/>
        </w:rPr>
        <w:tab/>
      </w:r>
      <w:r w:rsidR="002868A2" w:rsidRPr="00FC70D9">
        <w:rPr>
          <w:b/>
          <w:szCs w:val="24"/>
        </w:rPr>
        <w:t>DONNA L. NELSON</w:t>
      </w:r>
      <w:r w:rsidR="00680DE9" w:rsidRPr="00FC70D9">
        <w:rPr>
          <w:b/>
          <w:szCs w:val="24"/>
        </w:rPr>
        <w:t>, CHAIRMAN</w:t>
      </w:r>
    </w:p>
    <w:p w:rsidR="008F66B2" w:rsidRPr="00FC70D9" w:rsidRDefault="008F66B2" w:rsidP="00AA78DF">
      <w:pPr>
        <w:tabs>
          <w:tab w:val="left" w:pos="2880"/>
          <w:tab w:val="left" w:pos="8640"/>
        </w:tabs>
        <w:rPr>
          <w:b/>
          <w:szCs w:val="24"/>
        </w:rPr>
      </w:pPr>
    </w:p>
    <w:p w:rsidR="008F66B2" w:rsidRPr="00FC70D9" w:rsidRDefault="008F66B2" w:rsidP="00AA78DF">
      <w:pPr>
        <w:tabs>
          <w:tab w:val="left" w:pos="2880"/>
          <w:tab w:val="left" w:pos="8640"/>
        </w:tabs>
        <w:rPr>
          <w:b/>
          <w:szCs w:val="24"/>
        </w:rPr>
      </w:pPr>
    </w:p>
    <w:p w:rsidR="008F66B2" w:rsidRPr="00FC70D9" w:rsidRDefault="008F66B2" w:rsidP="00AA78DF">
      <w:pPr>
        <w:tabs>
          <w:tab w:val="left" w:pos="2880"/>
          <w:tab w:val="left" w:pos="8640"/>
        </w:tabs>
        <w:rPr>
          <w:b/>
          <w:szCs w:val="24"/>
        </w:rPr>
      </w:pPr>
    </w:p>
    <w:p w:rsidR="008F66B2" w:rsidRPr="00FC70D9" w:rsidRDefault="008F66B2" w:rsidP="00AA78DF">
      <w:pPr>
        <w:tabs>
          <w:tab w:val="left" w:pos="2880"/>
          <w:tab w:val="left" w:pos="8370"/>
        </w:tabs>
        <w:rPr>
          <w:b/>
          <w:szCs w:val="24"/>
        </w:rPr>
      </w:pPr>
      <w:r w:rsidRPr="00FC70D9">
        <w:rPr>
          <w:b/>
          <w:szCs w:val="24"/>
        </w:rPr>
        <w:tab/>
      </w:r>
      <w:r w:rsidRPr="00FC70D9">
        <w:rPr>
          <w:b/>
          <w:szCs w:val="24"/>
          <w:u w:val="single"/>
        </w:rPr>
        <w:tab/>
      </w:r>
    </w:p>
    <w:p w:rsidR="008F66B2" w:rsidRPr="00FC70D9" w:rsidRDefault="008F66B2" w:rsidP="00AA78DF">
      <w:pPr>
        <w:tabs>
          <w:tab w:val="left" w:pos="2880"/>
          <w:tab w:val="left" w:pos="8640"/>
        </w:tabs>
        <w:rPr>
          <w:b/>
          <w:szCs w:val="24"/>
        </w:rPr>
      </w:pPr>
      <w:r w:rsidRPr="00FC70D9">
        <w:rPr>
          <w:b/>
          <w:szCs w:val="24"/>
        </w:rPr>
        <w:tab/>
      </w:r>
      <w:r w:rsidR="002A1501" w:rsidRPr="00FC70D9">
        <w:rPr>
          <w:b/>
          <w:szCs w:val="24"/>
        </w:rPr>
        <w:t>KENNETH W. ANDERSON, JR.</w:t>
      </w:r>
      <w:r w:rsidR="00C36161" w:rsidRPr="00FC70D9">
        <w:rPr>
          <w:b/>
          <w:szCs w:val="24"/>
        </w:rPr>
        <w:t>, COMMISSIONER</w:t>
      </w:r>
    </w:p>
    <w:p w:rsidR="00F46A0E" w:rsidRPr="00FC70D9" w:rsidRDefault="00F46A0E" w:rsidP="00AA78DF">
      <w:pPr>
        <w:tabs>
          <w:tab w:val="left" w:pos="2880"/>
          <w:tab w:val="left" w:pos="8640"/>
        </w:tabs>
        <w:rPr>
          <w:b/>
          <w:szCs w:val="24"/>
        </w:rPr>
      </w:pPr>
    </w:p>
    <w:p w:rsidR="00F46A0E" w:rsidRPr="00FC70D9" w:rsidRDefault="00F46A0E" w:rsidP="00AA78DF">
      <w:pPr>
        <w:tabs>
          <w:tab w:val="left" w:pos="2880"/>
          <w:tab w:val="left" w:pos="8640"/>
        </w:tabs>
        <w:rPr>
          <w:b/>
          <w:szCs w:val="24"/>
        </w:rPr>
      </w:pPr>
    </w:p>
    <w:p w:rsidR="00F46A0E" w:rsidRPr="00FC70D9" w:rsidRDefault="00F46A0E" w:rsidP="00AA78DF">
      <w:pPr>
        <w:tabs>
          <w:tab w:val="left" w:pos="2880"/>
          <w:tab w:val="left" w:pos="8640"/>
        </w:tabs>
        <w:rPr>
          <w:b/>
          <w:szCs w:val="24"/>
        </w:rPr>
      </w:pPr>
    </w:p>
    <w:p w:rsidR="00F46A0E" w:rsidRPr="00FC70D9" w:rsidRDefault="00F46A0E" w:rsidP="00AA78DF">
      <w:pPr>
        <w:tabs>
          <w:tab w:val="left" w:pos="2880"/>
          <w:tab w:val="left" w:pos="8370"/>
        </w:tabs>
        <w:rPr>
          <w:b/>
          <w:szCs w:val="24"/>
        </w:rPr>
      </w:pPr>
      <w:r w:rsidRPr="00FC70D9">
        <w:rPr>
          <w:b/>
          <w:szCs w:val="24"/>
        </w:rPr>
        <w:tab/>
      </w:r>
      <w:r w:rsidRPr="00FC70D9">
        <w:rPr>
          <w:b/>
          <w:szCs w:val="24"/>
          <w:u w:val="single"/>
        </w:rPr>
        <w:tab/>
      </w:r>
    </w:p>
    <w:p w:rsidR="00F46A0E" w:rsidRPr="00FC70D9" w:rsidRDefault="00F46A0E" w:rsidP="00AA78DF">
      <w:pPr>
        <w:tabs>
          <w:tab w:val="left" w:pos="2880"/>
          <w:tab w:val="left" w:pos="8640"/>
        </w:tabs>
        <w:rPr>
          <w:b/>
          <w:szCs w:val="24"/>
        </w:rPr>
      </w:pPr>
      <w:r w:rsidRPr="00FC70D9">
        <w:rPr>
          <w:b/>
          <w:szCs w:val="24"/>
        </w:rPr>
        <w:tab/>
      </w:r>
      <w:r w:rsidR="000D7D6B">
        <w:rPr>
          <w:b/>
          <w:szCs w:val="24"/>
        </w:rPr>
        <w:t>BRANDY</w:t>
      </w:r>
      <w:r w:rsidR="0010502B" w:rsidRPr="00FC70D9">
        <w:rPr>
          <w:b/>
          <w:szCs w:val="24"/>
        </w:rPr>
        <w:t xml:space="preserve"> MARTY</w:t>
      </w:r>
      <w:r w:rsidR="000D7D6B">
        <w:rPr>
          <w:b/>
          <w:szCs w:val="24"/>
        </w:rPr>
        <w:t xml:space="preserve"> MARQUEZ</w:t>
      </w:r>
      <w:r w:rsidRPr="00FC70D9">
        <w:rPr>
          <w:b/>
          <w:szCs w:val="24"/>
        </w:rPr>
        <w:t>, COMMISSIONER</w:t>
      </w:r>
    </w:p>
    <w:p w:rsidR="008F66B2" w:rsidRPr="00FC70D9" w:rsidRDefault="008F66B2" w:rsidP="00AA78DF">
      <w:pPr>
        <w:rPr>
          <w:sz w:val="16"/>
        </w:rPr>
      </w:pPr>
    </w:p>
    <w:p w:rsidR="008F66B2" w:rsidRPr="00FC70D9" w:rsidRDefault="008F66B2" w:rsidP="00AA78DF">
      <w:pPr>
        <w:rPr>
          <w:sz w:val="16"/>
        </w:rPr>
      </w:pPr>
    </w:p>
    <w:p w:rsidR="008F66B2" w:rsidRPr="00FC70D9" w:rsidRDefault="008F66B2" w:rsidP="00AA78DF">
      <w:pPr>
        <w:rPr>
          <w:sz w:val="16"/>
        </w:rPr>
      </w:pPr>
    </w:p>
    <w:p w:rsidR="00AD3AF7" w:rsidRPr="00FC70D9" w:rsidRDefault="00967322" w:rsidP="00AA78DF">
      <w:r w:rsidRPr="00FC70D9">
        <w:rPr>
          <w:sz w:val="16"/>
        </w:rPr>
        <w:fldChar w:fldCharType="begin"/>
      </w:r>
      <w:r w:rsidRPr="00FC70D9">
        <w:rPr>
          <w:sz w:val="16"/>
        </w:rPr>
        <w:instrText xml:space="preserve"> FILENAME \* Lower\p \* MERGEFORMAT </w:instrText>
      </w:r>
      <w:r w:rsidRPr="00FC70D9">
        <w:rPr>
          <w:sz w:val="16"/>
        </w:rPr>
        <w:fldChar w:fldCharType="separate"/>
      </w:r>
      <w:r w:rsidR="000D7D6B">
        <w:rPr>
          <w:noProof/>
          <w:sz w:val="16"/>
        </w:rPr>
        <w:t>q:\cadm\docket management\electric\nov\43xxx\43705 po.docx</w:t>
      </w:r>
      <w:r w:rsidRPr="00FC70D9">
        <w:rPr>
          <w:sz w:val="16"/>
        </w:rPr>
        <w:fldChar w:fldCharType="end"/>
      </w:r>
      <w:r w:rsidR="00AD3AF7" w:rsidRPr="00FC70D9">
        <w:rPr>
          <w:sz w:val="16"/>
        </w:rPr>
        <w:t xml:space="preserve">  </w:t>
      </w:r>
    </w:p>
    <w:sectPr w:rsidR="00AD3AF7" w:rsidRPr="00FC70D9" w:rsidSect="00353B9F">
      <w:head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416" w:rsidRDefault="00611416">
      <w:r>
        <w:separator/>
      </w:r>
    </w:p>
  </w:endnote>
  <w:endnote w:type="continuationSeparator" w:id="0">
    <w:p w:rsidR="00611416" w:rsidRDefault="00611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416" w:rsidRDefault="00611416">
      <w:r>
        <w:separator/>
      </w:r>
    </w:p>
  </w:footnote>
  <w:footnote w:type="continuationSeparator" w:id="0">
    <w:p w:rsidR="00611416" w:rsidRDefault="00611416">
      <w:r>
        <w:continuationSeparator/>
      </w:r>
    </w:p>
  </w:footnote>
  <w:footnote w:id="1">
    <w:p w:rsidR="00FC70D9" w:rsidRPr="00A10F81" w:rsidRDefault="00FC70D9" w:rsidP="00FC70D9">
      <w:pPr>
        <w:ind w:firstLine="720"/>
        <w:jc w:val="both"/>
        <w:rPr>
          <w:sz w:val="20"/>
        </w:rPr>
      </w:pPr>
      <w:r w:rsidRPr="00A10F81">
        <w:rPr>
          <w:rStyle w:val="FootnoteReference"/>
          <w:sz w:val="20"/>
        </w:rPr>
        <w:footnoteRef/>
      </w:r>
      <w:r w:rsidRPr="00A10F81">
        <w:rPr>
          <w:sz w:val="20"/>
        </w:rPr>
        <w:t xml:space="preserve">  Public Utility Regulatory Act, </w:t>
      </w:r>
      <w:r w:rsidRPr="00A10F81">
        <w:rPr>
          <w:smallCaps/>
          <w:sz w:val="20"/>
        </w:rPr>
        <w:t>Tex. Util. Code Ann</w:t>
      </w:r>
      <w:r w:rsidRPr="00A10F81">
        <w:rPr>
          <w:sz w:val="20"/>
        </w:rPr>
        <w:t xml:space="preserve">. §§ 11.001-66.016 (Vernon 2007 &amp; Supp. 2014) (PURA).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B7E" w:rsidRDefault="00DB4B7E" w:rsidP="00B16C4B">
    <w:pPr>
      <w:pStyle w:val="Header"/>
      <w:tabs>
        <w:tab w:val="clear" w:pos="4320"/>
        <w:tab w:val="clear" w:pos="8640"/>
        <w:tab w:val="center" w:pos="4680"/>
        <w:tab w:val="right" w:pos="9360"/>
      </w:tabs>
      <w:rPr>
        <w:rStyle w:val="PageNumber"/>
      </w:rPr>
    </w:pPr>
    <w:r>
      <w:t xml:space="preserve">Docket No. </w:t>
    </w:r>
    <w:r w:rsidR="00A10F81">
      <w:t>43705</w:t>
    </w:r>
    <w:r>
      <w:tab/>
    </w:r>
    <w:r w:rsidR="00A10F81">
      <w:t>Proposed</w:t>
    </w:r>
    <w:r>
      <w:t xml:space="preserve"> Order</w:t>
    </w:r>
    <w:r>
      <w:tab/>
      <w:t xml:space="preserve">Page </w:t>
    </w:r>
    <w:r>
      <w:rPr>
        <w:rStyle w:val="PageNumber"/>
      </w:rPr>
      <w:fldChar w:fldCharType="begin"/>
    </w:r>
    <w:r>
      <w:rPr>
        <w:rStyle w:val="PageNumber"/>
      </w:rPr>
      <w:instrText xml:space="preserve"> PAGE </w:instrText>
    </w:r>
    <w:r>
      <w:rPr>
        <w:rStyle w:val="PageNumber"/>
      </w:rPr>
      <w:fldChar w:fldCharType="separate"/>
    </w:r>
    <w:r w:rsidR="00026E4C">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26E4C">
      <w:rPr>
        <w:rStyle w:val="PageNumber"/>
        <w:noProof/>
      </w:rPr>
      <w:t>4</w:t>
    </w:r>
    <w:r>
      <w:rPr>
        <w:rStyle w:val="PageNumber"/>
      </w:rPr>
      <w:fldChar w:fldCharType="end"/>
    </w:r>
  </w:p>
  <w:p w:rsidR="00DB4B7E" w:rsidRDefault="00DB4B7E">
    <w:pPr>
      <w:pStyle w:val="Header"/>
    </w:pPr>
  </w:p>
  <w:p w:rsidR="00A10F81" w:rsidRDefault="00A10F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726"/>
    <w:multiLevelType w:val="singleLevel"/>
    <w:tmpl w:val="C974120C"/>
    <w:lvl w:ilvl="0">
      <w:start w:val="1"/>
      <w:numFmt w:val="decimal"/>
      <w:lvlText w:val="%1."/>
      <w:lvlJc w:val="left"/>
      <w:pPr>
        <w:tabs>
          <w:tab w:val="num" w:pos="720"/>
        </w:tabs>
        <w:ind w:left="720" w:hanging="720"/>
      </w:pPr>
    </w:lvl>
  </w:abstractNum>
  <w:abstractNum w:abstractNumId="1">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nsid w:val="16184F6A"/>
    <w:multiLevelType w:val="multilevel"/>
    <w:tmpl w:val="949EF446"/>
    <w:lvl w:ilvl="0">
      <w:start w:val="3"/>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pStyle w:val="Heading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520F82"/>
    <w:multiLevelType w:val="multilevel"/>
    <w:tmpl w:val="52CA94FC"/>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
    <w:nsid w:val="19D535F8"/>
    <w:multiLevelType w:val="multilevel"/>
    <w:tmpl w:val="33B86802"/>
    <w:lvl w:ilvl="0">
      <w:start w:val="5"/>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7">
    <w:nsid w:val="607E79F5"/>
    <w:multiLevelType w:val="multilevel"/>
    <w:tmpl w:val="198C6C8C"/>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81E1918"/>
    <w:multiLevelType w:val="multilevel"/>
    <w:tmpl w:val="CA629136"/>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88D2788"/>
    <w:multiLevelType w:val="multilevel"/>
    <w:tmpl w:val="A2CE335C"/>
    <w:lvl w:ilvl="0">
      <w:start w:val="3"/>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F502CE1"/>
    <w:multiLevelType w:val="singleLevel"/>
    <w:tmpl w:val="D8D86316"/>
    <w:lvl w:ilvl="0">
      <w:start w:val="1"/>
      <w:numFmt w:val="decimal"/>
      <w:lvlText w:val="%1."/>
      <w:lvlJc w:val="left"/>
      <w:pPr>
        <w:tabs>
          <w:tab w:val="num" w:pos="720"/>
        </w:tabs>
        <w:ind w:left="720" w:hanging="720"/>
      </w:pPr>
    </w:lvl>
  </w:abstractNum>
  <w:abstractNum w:abstractNumId="11">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1"/>
  </w:num>
  <w:num w:numId="2">
    <w:abstractNumId w:val="11"/>
  </w:num>
  <w:num w:numId="3">
    <w:abstractNumId w:val="11"/>
  </w:num>
  <w:num w:numId="4">
    <w:abstractNumId w:val="11"/>
  </w:num>
  <w:num w:numId="5">
    <w:abstractNumId w:val="0"/>
  </w:num>
  <w:num w:numId="6">
    <w:abstractNumId w:val="10"/>
  </w:num>
  <w:num w:numId="7">
    <w:abstractNumId w:val="10"/>
    <w:lvlOverride w:ilvl="0">
      <w:startOverride w:val="1"/>
    </w:lvlOverride>
  </w:num>
  <w:num w:numId="8">
    <w:abstractNumId w:val="1"/>
  </w:num>
  <w:num w:numId="9">
    <w:abstractNumId w:val="4"/>
  </w:num>
  <w:num w:numId="10">
    <w:abstractNumId w:val="11"/>
  </w:num>
  <w:num w:numId="11">
    <w:abstractNumId w:val="11"/>
  </w:num>
  <w:num w:numId="12">
    <w:abstractNumId w:val="4"/>
  </w:num>
  <w:num w:numId="13">
    <w:abstractNumId w:val="11"/>
  </w:num>
  <w:num w:numId="14">
    <w:abstractNumId w:val="4"/>
  </w:num>
  <w:num w:numId="15">
    <w:abstractNumId w:val="6"/>
  </w:num>
  <w:num w:numId="16">
    <w:abstractNumId w:val="6"/>
  </w:num>
  <w:num w:numId="17">
    <w:abstractNumId w:val="6"/>
  </w:num>
  <w:num w:numId="18">
    <w:abstractNumId w:val="6"/>
  </w:num>
  <w:num w:numId="19">
    <w:abstractNumId w:val="11"/>
  </w:num>
  <w:num w:numId="20">
    <w:abstractNumId w:val="4"/>
  </w:num>
  <w:num w:numId="21">
    <w:abstractNumId w:val="6"/>
  </w:num>
  <w:num w:numId="22">
    <w:abstractNumId w:val="6"/>
  </w:num>
  <w:num w:numId="23">
    <w:abstractNumId w:val="6"/>
  </w:num>
  <w:num w:numId="24">
    <w:abstractNumId w:val="6"/>
  </w:num>
  <w:num w:numId="25">
    <w:abstractNumId w:val="3"/>
  </w:num>
  <w:num w:numId="26">
    <w:abstractNumId w:val="2"/>
  </w:num>
  <w:num w:numId="27">
    <w:abstractNumId w:val="7"/>
  </w:num>
  <w:num w:numId="28">
    <w:abstractNumId w:val="9"/>
  </w:num>
  <w:num w:numId="29">
    <w:abstractNumId w:val="8"/>
  </w:num>
  <w:num w:numId="30">
    <w:abstractNumId w:val="5"/>
  </w:num>
  <w:num w:numId="31">
    <w:abstractNumId w:val="1"/>
    <w:lvlOverride w:ilvl="0">
      <w:startOverride w:val="1"/>
    </w:lvlOverride>
  </w:num>
  <w:num w:numId="3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416"/>
    <w:rsid w:val="00026E4C"/>
    <w:rsid w:val="00040455"/>
    <w:rsid w:val="00077D4A"/>
    <w:rsid w:val="000812EE"/>
    <w:rsid w:val="000C1AB7"/>
    <w:rsid w:val="000D7D6B"/>
    <w:rsid w:val="000E78F4"/>
    <w:rsid w:val="0010502B"/>
    <w:rsid w:val="001F7869"/>
    <w:rsid w:val="002868A2"/>
    <w:rsid w:val="002A1501"/>
    <w:rsid w:val="002C2B5C"/>
    <w:rsid w:val="002D6B9B"/>
    <w:rsid w:val="00343C81"/>
    <w:rsid w:val="00353B9F"/>
    <w:rsid w:val="0036472C"/>
    <w:rsid w:val="00376FC3"/>
    <w:rsid w:val="003B45AE"/>
    <w:rsid w:val="003C573B"/>
    <w:rsid w:val="003E1BD1"/>
    <w:rsid w:val="003E3C10"/>
    <w:rsid w:val="00415C67"/>
    <w:rsid w:val="004B1C7B"/>
    <w:rsid w:val="004C31B3"/>
    <w:rsid w:val="00580522"/>
    <w:rsid w:val="00611416"/>
    <w:rsid w:val="00680DE9"/>
    <w:rsid w:val="006E2930"/>
    <w:rsid w:val="007C59E3"/>
    <w:rsid w:val="00820B88"/>
    <w:rsid w:val="008439DC"/>
    <w:rsid w:val="00852E35"/>
    <w:rsid w:val="00896CE7"/>
    <w:rsid w:val="008A1D27"/>
    <w:rsid w:val="008D3357"/>
    <w:rsid w:val="008F66B2"/>
    <w:rsid w:val="00967322"/>
    <w:rsid w:val="00977223"/>
    <w:rsid w:val="009A287F"/>
    <w:rsid w:val="009B61FA"/>
    <w:rsid w:val="00A10F81"/>
    <w:rsid w:val="00A76596"/>
    <w:rsid w:val="00AA78DF"/>
    <w:rsid w:val="00AC610E"/>
    <w:rsid w:val="00AD3AF7"/>
    <w:rsid w:val="00B16C4B"/>
    <w:rsid w:val="00BB22CB"/>
    <w:rsid w:val="00C36161"/>
    <w:rsid w:val="00C36761"/>
    <w:rsid w:val="00CD78C8"/>
    <w:rsid w:val="00D0614C"/>
    <w:rsid w:val="00D0672D"/>
    <w:rsid w:val="00D10BD6"/>
    <w:rsid w:val="00DB4B7E"/>
    <w:rsid w:val="00E0317C"/>
    <w:rsid w:val="00E0440D"/>
    <w:rsid w:val="00F46A0E"/>
    <w:rsid w:val="00F533B1"/>
    <w:rsid w:val="00FB754A"/>
    <w:rsid w:val="00FC70D9"/>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pPr>
      <w:numPr>
        <w:ilvl w:val="2"/>
        <w:numId w:val="19"/>
      </w:numPr>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styleId="BalloonText">
    <w:name w:val="Balloon Text"/>
    <w:basedOn w:val="Normal"/>
    <w:link w:val="BalloonTextChar"/>
    <w:rsid w:val="00026E4C"/>
    <w:rPr>
      <w:rFonts w:ascii="Tahoma" w:hAnsi="Tahoma" w:cs="Tahoma"/>
      <w:sz w:val="16"/>
      <w:szCs w:val="16"/>
    </w:rPr>
  </w:style>
  <w:style w:type="character" w:customStyle="1" w:styleId="BalloonTextChar">
    <w:name w:val="Balloon Text Char"/>
    <w:basedOn w:val="DefaultParagraphFont"/>
    <w:link w:val="BalloonText"/>
    <w:rsid w:val="00026E4C"/>
    <w:rPr>
      <w:rFonts w:ascii="Tahoma" w:hAnsi="Tahoma" w:cs="Tahoma"/>
      <w:snapToGrid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pPr>
      <w:numPr>
        <w:ilvl w:val="2"/>
        <w:numId w:val="19"/>
      </w:numPr>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styleId="BalloonText">
    <w:name w:val="Balloon Text"/>
    <w:basedOn w:val="Normal"/>
    <w:link w:val="BalloonTextChar"/>
    <w:rsid w:val="00026E4C"/>
    <w:rPr>
      <w:rFonts w:ascii="Tahoma" w:hAnsi="Tahoma" w:cs="Tahoma"/>
      <w:sz w:val="16"/>
      <w:szCs w:val="16"/>
    </w:rPr>
  </w:style>
  <w:style w:type="character" w:customStyle="1" w:styleId="BalloonTextChar">
    <w:name w:val="Balloon Text Char"/>
    <w:basedOn w:val="DefaultParagraphFont"/>
    <w:link w:val="BalloonText"/>
    <w:rsid w:val="00026E4C"/>
    <w:rPr>
      <w:rFonts w:ascii="Tahoma" w:hAnsi="Tahoma" w:cs="Tahoma"/>
      <w:snapToGrid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BE455-DFED-486E-B075-3476B706B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order.dot</Template>
  <TotalTime>63</TotalTime>
  <Pages>4</Pages>
  <Words>949</Words>
  <Characters>5314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6251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creator>Shockey, Kathy</dc:creator>
  <cp:lastModifiedBy>Shockey, Kathy</cp:lastModifiedBy>
  <cp:revision>12</cp:revision>
  <cp:lastPrinted>2014-11-24T17:14:00Z</cp:lastPrinted>
  <dcterms:created xsi:type="dcterms:W3CDTF">2014-11-12T21:27:00Z</dcterms:created>
  <dcterms:modified xsi:type="dcterms:W3CDTF">2014-11-24T17:47:00Z</dcterms:modified>
</cp:coreProperties>
</file>